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6" w:rsidRDefault="00D90966" w:rsidP="00F62D47">
      <w:pPr>
        <w:pStyle w:val="tl"/>
        <w:spacing w:line="412" w:lineRule="exact"/>
        <w:ind w:right="-39"/>
        <w:jc w:val="center"/>
        <w:rPr>
          <w:sz w:val="34"/>
          <w:szCs w:val="34"/>
        </w:rPr>
      </w:pPr>
      <w:r>
        <w:rPr>
          <w:sz w:val="34"/>
          <w:szCs w:val="34"/>
        </w:rPr>
        <w:t>Tarifa mestskej hromadnej dopravy</w:t>
      </w:r>
    </w:p>
    <w:p w:rsidR="00D90966" w:rsidRDefault="00D90966" w:rsidP="00F62D47">
      <w:pPr>
        <w:pStyle w:val="tl"/>
        <w:spacing w:line="412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v meste Dunajská Streda</w:t>
      </w:r>
    </w:p>
    <w:p w:rsidR="00D90966" w:rsidRDefault="00D90966" w:rsidP="00F62D47">
      <w:pPr>
        <w:pStyle w:val="tl"/>
        <w:spacing w:line="412" w:lineRule="exact"/>
        <w:jc w:val="center"/>
        <w:rPr>
          <w:sz w:val="34"/>
          <w:szCs w:val="34"/>
        </w:rPr>
      </w:pPr>
    </w:p>
    <w:p w:rsidR="00D90966" w:rsidRPr="00F62D47" w:rsidRDefault="00D90966" w:rsidP="00F62D47">
      <w:pPr>
        <w:pStyle w:val="tl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Pr="00F62D47">
        <w:rPr>
          <w:b/>
          <w:sz w:val="22"/>
          <w:szCs w:val="22"/>
        </w:rPr>
        <w:t>l. I</w:t>
      </w:r>
    </w:p>
    <w:p w:rsidR="00D90966" w:rsidRPr="00F62D47" w:rsidRDefault="00D90966" w:rsidP="00F62D47">
      <w:pPr>
        <w:pStyle w:val="tl"/>
        <w:spacing w:line="276" w:lineRule="auto"/>
        <w:jc w:val="center"/>
        <w:rPr>
          <w:b/>
          <w:sz w:val="22"/>
          <w:szCs w:val="22"/>
        </w:rPr>
      </w:pPr>
      <w:r w:rsidRPr="00F62D47">
        <w:rPr>
          <w:b/>
          <w:sz w:val="22"/>
          <w:szCs w:val="22"/>
        </w:rPr>
        <w:t>Základné ustanovenia</w:t>
      </w:r>
    </w:p>
    <w:p w:rsidR="00D90966" w:rsidRPr="002B5762" w:rsidRDefault="00D90966" w:rsidP="00F62D47">
      <w:pPr>
        <w:pStyle w:val="tl"/>
        <w:spacing w:line="249" w:lineRule="exact"/>
        <w:jc w:val="center"/>
        <w:rPr>
          <w:sz w:val="18"/>
          <w:szCs w:val="18"/>
        </w:rPr>
      </w:pPr>
    </w:p>
    <w:p w:rsidR="00D90966" w:rsidRPr="002B5762" w:rsidRDefault="00D90966" w:rsidP="002B5762">
      <w:pPr>
        <w:pStyle w:val="tl"/>
        <w:numPr>
          <w:ilvl w:val="0"/>
          <w:numId w:val="37"/>
        </w:numPr>
        <w:spacing w:before="28" w:line="230" w:lineRule="exact"/>
        <w:ind w:left="284" w:right="9" w:hanging="284"/>
        <w:jc w:val="both"/>
        <w:rPr>
          <w:w w:val="105"/>
          <w:sz w:val="18"/>
          <w:szCs w:val="18"/>
        </w:rPr>
      </w:pPr>
      <w:r w:rsidRPr="002B5762">
        <w:rPr>
          <w:w w:val="105"/>
          <w:sz w:val="18"/>
          <w:szCs w:val="18"/>
        </w:rPr>
        <w:t>Táto tarifa upravuje najmä sadzby základného cestovného dopravcu, príplatkov a zliav z neho a ďalších úhrad spojených s prepravou cestujúcich, ich batožín, ako aj podmienky dopravcu, za ktorých sa sadzby uplatňujú, v súlade s </w:t>
      </w:r>
      <w:r>
        <w:rPr>
          <w:w w:val="105"/>
          <w:sz w:val="18"/>
          <w:szCs w:val="18"/>
        </w:rPr>
        <w:t>u</w:t>
      </w:r>
      <w:r w:rsidRPr="002B5762">
        <w:rPr>
          <w:w w:val="105"/>
          <w:sz w:val="18"/>
          <w:szCs w:val="18"/>
        </w:rPr>
        <w:t xml:space="preserve">znesením </w:t>
      </w:r>
      <w:r>
        <w:rPr>
          <w:w w:val="105"/>
          <w:sz w:val="18"/>
          <w:szCs w:val="18"/>
        </w:rPr>
        <w:t xml:space="preserve">Mestského zastupiteľstva mesta Dunajská Streda </w:t>
      </w:r>
      <w:r w:rsidRPr="002B5762">
        <w:rPr>
          <w:w w:val="105"/>
          <w:sz w:val="18"/>
          <w:szCs w:val="18"/>
        </w:rPr>
        <w:t xml:space="preserve">č. </w:t>
      </w:r>
      <w:r>
        <w:rPr>
          <w:w w:val="105"/>
          <w:sz w:val="18"/>
          <w:szCs w:val="18"/>
        </w:rPr>
        <w:t>21/2014/2 z</w:t>
      </w:r>
      <w:r w:rsidRPr="002B5762">
        <w:rPr>
          <w:w w:val="105"/>
          <w:sz w:val="18"/>
          <w:szCs w:val="18"/>
        </w:rPr>
        <w:t xml:space="preserve">o dňa </w:t>
      </w:r>
      <w:r>
        <w:rPr>
          <w:w w:val="105"/>
          <w:sz w:val="18"/>
          <w:szCs w:val="18"/>
        </w:rPr>
        <w:t>9</w:t>
      </w:r>
      <w:r w:rsidRPr="002B5762">
        <w:rPr>
          <w:w w:val="105"/>
          <w:sz w:val="18"/>
          <w:szCs w:val="18"/>
        </w:rPr>
        <w:t xml:space="preserve">. 12. </w:t>
      </w:r>
      <w:r>
        <w:rPr>
          <w:w w:val="105"/>
          <w:sz w:val="18"/>
          <w:szCs w:val="18"/>
        </w:rPr>
        <w:t>2</w:t>
      </w:r>
      <w:r w:rsidRPr="002B5762">
        <w:rPr>
          <w:w w:val="105"/>
          <w:sz w:val="18"/>
          <w:szCs w:val="18"/>
        </w:rPr>
        <w:t>01</w:t>
      </w:r>
      <w:r>
        <w:rPr>
          <w:w w:val="105"/>
          <w:sz w:val="18"/>
          <w:szCs w:val="18"/>
        </w:rPr>
        <w:t>4</w:t>
      </w:r>
      <w:r w:rsidRPr="002B5762">
        <w:rPr>
          <w:w w:val="105"/>
          <w:sz w:val="18"/>
          <w:szCs w:val="18"/>
        </w:rPr>
        <w:t>.</w:t>
      </w:r>
    </w:p>
    <w:p w:rsidR="00D90966" w:rsidRPr="00DC6CA5" w:rsidRDefault="00D90966" w:rsidP="002B5762">
      <w:pPr>
        <w:pStyle w:val="tl"/>
        <w:numPr>
          <w:ilvl w:val="0"/>
          <w:numId w:val="37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2B5762">
        <w:rPr>
          <w:w w:val="105"/>
          <w:sz w:val="18"/>
          <w:szCs w:val="18"/>
        </w:rPr>
        <w:t xml:space="preserve">Tarifa platí pre pravidelnú </w:t>
      </w:r>
      <w:r w:rsidRPr="00DC6CA5">
        <w:rPr>
          <w:w w:val="105"/>
          <w:sz w:val="18"/>
          <w:szCs w:val="18"/>
        </w:rPr>
        <w:t xml:space="preserve">autobusovú dopravu na linkách mestskej hromadnej dopravy v meste Dunajská Streda s účinnosťou </w:t>
      </w:r>
      <w:r w:rsidRPr="00DC6CA5">
        <w:rPr>
          <w:b/>
          <w:w w:val="105"/>
          <w:sz w:val="18"/>
          <w:szCs w:val="18"/>
        </w:rPr>
        <w:t>od 1.7.2015</w:t>
      </w:r>
      <w:r w:rsidRPr="00DC6CA5">
        <w:rPr>
          <w:w w:val="105"/>
          <w:sz w:val="18"/>
          <w:szCs w:val="18"/>
        </w:rPr>
        <w:t xml:space="preserve">. Tarifa platí spolu s Prepravným poriadkom dopravcu, ktorý upravuje podmienky, za ktorých dopravca prepravuje osoby a batožinu. </w:t>
      </w:r>
    </w:p>
    <w:p w:rsidR="00D90966" w:rsidRPr="00DC6CA5" w:rsidRDefault="00D90966" w:rsidP="002B5762">
      <w:pPr>
        <w:pStyle w:val="tl"/>
        <w:numPr>
          <w:ilvl w:val="0"/>
          <w:numId w:val="37"/>
        </w:numPr>
        <w:spacing w:before="14" w:line="225" w:lineRule="exact"/>
        <w:ind w:left="284" w:hanging="284"/>
        <w:jc w:val="both"/>
        <w:rPr>
          <w:sz w:val="18"/>
          <w:szCs w:val="18"/>
        </w:rPr>
      </w:pPr>
      <w:r w:rsidRPr="00DC6CA5">
        <w:rPr>
          <w:w w:val="105"/>
          <w:sz w:val="18"/>
          <w:szCs w:val="18"/>
        </w:rPr>
        <w:t>Dopravcom podľa tejto tarify je Slovenská autobusová doprava Dunajská Streda, akciová spoločnosť. Dopravca je právnická osoba zapísaná v Obchodnom registri Okresného súdu Trnava, oddiel Sa, vl. č. 10215/T</w:t>
      </w:r>
      <w:r w:rsidRPr="00DC6CA5">
        <w:rPr>
          <w:sz w:val="18"/>
          <w:szCs w:val="18"/>
        </w:rPr>
        <w:t>.</w:t>
      </w:r>
    </w:p>
    <w:p w:rsidR="00D90966" w:rsidRPr="00DC6CA5" w:rsidRDefault="00D90966" w:rsidP="00F62D47">
      <w:pPr>
        <w:pStyle w:val="tl"/>
        <w:spacing w:before="14" w:line="225" w:lineRule="exact"/>
        <w:jc w:val="both"/>
        <w:rPr>
          <w:sz w:val="18"/>
          <w:szCs w:val="18"/>
        </w:rPr>
      </w:pPr>
    </w:p>
    <w:p w:rsidR="00D90966" w:rsidRPr="00DC6CA5" w:rsidRDefault="00D90966" w:rsidP="0052703E">
      <w:pPr>
        <w:pStyle w:val="tl"/>
        <w:spacing w:before="14" w:line="225" w:lineRule="exact"/>
        <w:jc w:val="center"/>
        <w:rPr>
          <w:b/>
          <w:sz w:val="22"/>
          <w:szCs w:val="22"/>
        </w:rPr>
      </w:pPr>
      <w:r w:rsidRPr="00DC6CA5">
        <w:rPr>
          <w:b/>
          <w:sz w:val="22"/>
          <w:szCs w:val="22"/>
        </w:rPr>
        <w:t>Čl. II</w:t>
      </w:r>
    </w:p>
    <w:p w:rsidR="00D90966" w:rsidRPr="00DC6CA5" w:rsidRDefault="00D90966" w:rsidP="0052703E">
      <w:pPr>
        <w:pStyle w:val="tl"/>
        <w:spacing w:before="14" w:line="225" w:lineRule="exact"/>
        <w:jc w:val="center"/>
        <w:rPr>
          <w:b/>
          <w:w w:val="105"/>
          <w:sz w:val="22"/>
          <w:szCs w:val="22"/>
        </w:rPr>
      </w:pPr>
      <w:r w:rsidRPr="00DC6CA5">
        <w:rPr>
          <w:b/>
          <w:w w:val="105"/>
          <w:sz w:val="22"/>
          <w:szCs w:val="22"/>
        </w:rPr>
        <w:t>Druhy cestovných lístkov a ceny cestovného (dovozného)</w:t>
      </w:r>
    </w:p>
    <w:p w:rsidR="00D90966" w:rsidRPr="00DC6CA5" w:rsidRDefault="00D90966" w:rsidP="0052703E">
      <w:pPr>
        <w:pStyle w:val="tl"/>
        <w:spacing w:before="14" w:line="225" w:lineRule="exact"/>
        <w:jc w:val="center"/>
        <w:rPr>
          <w:b/>
          <w:w w:val="105"/>
          <w:sz w:val="22"/>
          <w:szCs w:val="22"/>
        </w:rPr>
      </w:pPr>
    </w:p>
    <w:p w:rsidR="00D90966" w:rsidRPr="00AE56D8" w:rsidRDefault="00D90966" w:rsidP="0052703E">
      <w:pPr>
        <w:pStyle w:val="tl"/>
        <w:spacing w:before="14" w:line="225" w:lineRule="exact"/>
        <w:jc w:val="center"/>
        <w:rPr>
          <w:b/>
          <w:w w:val="105"/>
          <w:sz w:val="22"/>
          <w:szCs w:val="22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9"/>
        <w:gridCol w:w="1589"/>
        <w:gridCol w:w="1265"/>
        <w:gridCol w:w="1653"/>
      </w:tblGrid>
      <w:tr w:rsidR="00D90966" w:rsidRPr="00AE56D8" w:rsidTr="00A60451">
        <w:trPr>
          <w:trHeight w:val="447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AE56D8">
              <w:rPr>
                <w:b/>
                <w:w w:val="105"/>
                <w:sz w:val="18"/>
                <w:szCs w:val="18"/>
              </w:rPr>
              <w:t>Druhy cestovného (dovozného)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AE56D8">
              <w:rPr>
                <w:b/>
                <w:w w:val="105"/>
                <w:sz w:val="18"/>
                <w:szCs w:val="18"/>
              </w:rPr>
              <w:t>Platba v hotovosti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AE56D8">
              <w:rPr>
                <w:b/>
                <w:w w:val="105"/>
                <w:sz w:val="18"/>
                <w:szCs w:val="18"/>
              </w:rPr>
              <w:t>Platba dopravnou kartou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AE56D8">
              <w:rPr>
                <w:b/>
                <w:w w:val="105"/>
                <w:sz w:val="18"/>
                <w:szCs w:val="18"/>
              </w:rPr>
              <w:t xml:space="preserve">Platba dopravnou kartou – držiteľom Vernostnej karty </w:t>
            </w:r>
          </w:p>
        </w:tc>
      </w:tr>
      <w:tr w:rsidR="00D90966" w:rsidRPr="00AE56D8" w:rsidTr="00A60451">
        <w:trPr>
          <w:trHeight w:val="398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Obyčajné cestovné</w:t>
            </w:r>
          </w:p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 xml:space="preserve"> na jednotlivú cestu 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0,60 €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D90966" w:rsidRPr="00AE56D8" w:rsidRDefault="00D90966" w:rsidP="00A60451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0,50 €</w:t>
            </w:r>
          </w:p>
        </w:tc>
        <w:tc>
          <w:tcPr>
            <w:tcW w:w="1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0,25 €</w:t>
            </w:r>
          </w:p>
        </w:tc>
      </w:tr>
      <w:tr w:rsidR="00D90966" w:rsidRPr="00AE56D8" w:rsidTr="00A60451">
        <w:trPr>
          <w:trHeight w:val="404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Zľavnené cestovné</w:t>
            </w:r>
          </w:p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 xml:space="preserve"> na jednotlivú cestu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0,35 €</w:t>
            </w:r>
          </w:p>
        </w:tc>
        <w:tc>
          <w:tcPr>
            <w:tcW w:w="1265" w:type="dxa"/>
            <w:vAlign w:val="center"/>
          </w:tcPr>
          <w:p w:rsidR="00D90966" w:rsidRPr="00AE56D8" w:rsidRDefault="00D90966" w:rsidP="00A60451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0,30 €</w:t>
            </w: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0,00 €</w:t>
            </w:r>
          </w:p>
        </w:tc>
      </w:tr>
      <w:tr w:rsidR="00D90966" w:rsidRPr="00AE56D8" w:rsidTr="00A60451">
        <w:trPr>
          <w:trHeight w:val="423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Dovozné (batožina, pes, prázdny detský kočík)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0,35 €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D90966" w:rsidRPr="00AE56D8" w:rsidRDefault="00D90966" w:rsidP="00A60451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0,30 €</w:t>
            </w:r>
          </w:p>
        </w:tc>
        <w:tc>
          <w:tcPr>
            <w:tcW w:w="1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966" w:rsidRPr="00AE56D8" w:rsidRDefault="00D90966" w:rsidP="005F3EBB">
            <w:pPr>
              <w:pStyle w:val="tl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AE56D8">
              <w:rPr>
                <w:w w:val="105"/>
                <w:sz w:val="18"/>
                <w:szCs w:val="18"/>
              </w:rPr>
              <w:t>0,15 €</w:t>
            </w:r>
          </w:p>
        </w:tc>
      </w:tr>
    </w:tbl>
    <w:p w:rsidR="00D90966" w:rsidRPr="00AE56D8" w:rsidRDefault="00D90966" w:rsidP="007C138B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7C138B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7C138B">
      <w:pPr>
        <w:pStyle w:val="tl"/>
        <w:spacing w:before="14" w:line="225" w:lineRule="exact"/>
        <w:jc w:val="both"/>
        <w:rPr>
          <w:b/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Jednotlivé druhy cestovného (dovozného) sa uplatňujú nasledovne:</w:t>
      </w:r>
    </w:p>
    <w:p w:rsidR="00D90966" w:rsidRPr="00DC6CA5" w:rsidRDefault="00D90966" w:rsidP="007C138B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CD2595">
      <w:pPr>
        <w:pStyle w:val="tl"/>
        <w:numPr>
          <w:ilvl w:val="0"/>
          <w:numId w:val="26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Obyčajné cestovné na jednotlivú cestu:</w:t>
      </w:r>
    </w:p>
    <w:p w:rsidR="00D90966" w:rsidRPr="00DC6CA5" w:rsidRDefault="00D90966" w:rsidP="00B21822">
      <w:pPr>
        <w:pStyle w:val="tl"/>
        <w:numPr>
          <w:ilvl w:val="1"/>
          <w:numId w:val="26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dospelé osoby,</w:t>
      </w:r>
    </w:p>
    <w:p w:rsidR="00D90966" w:rsidRPr="00DC6CA5" w:rsidRDefault="00D90966" w:rsidP="00B21822">
      <w:pPr>
        <w:pStyle w:val="tl"/>
        <w:numPr>
          <w:ilvl w:val="1"/>
          <w:numId w:val="26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mladiství po dovŕšení 15. roku veku.</w:t>
      </w:r>
    </w:p>
    <w:p w:rsidR="00D90966" w:rsidRPr="00DC6CA5" w:rsidRDefault="00D90966" w:rsidP="007C138B">
      <w:pPr>
        <w:pStyle w:val="tl"/>
        <w:spacing w:before="14" w:line="225" w:lineRule="exact"/>
        <w:jc w:val="both"/>
        <w:rPr>
          <w:b/>
          <w:w w:val="105"/>
          <w:sz w:val="18"/>
          <w:szCs w:val="18"/>
        </w:rPr>
      </w:pPr>
    </w:p>
    <w:p w:rsidR="00D90966" w:rsidRPr="00DC6CA5" w:rsidRDefault="00D90966" w:rsidP="00B21822">
      <w:pPr>
        <w:pStyle w:val="tl"/>
        <w:numPr>
          <w:ilvl w:val="0"/>
          <w:numId w:val="27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Zľavnené cestovné na jednotlivú cestu:</w:t>
      </w:r>
    </w:p>
    <w:p w:rsidR="00D90966" w:rsidRPr="00DC6CA5" w:rsidRDefault="00D90966" w:rsidP="00B21822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deti po dovŕšení 6</w:t>
      </w:r>
      <w:r w:rsidRPr="00DC6CA5">
        <w:rPr>
          <w:rFonts w:ascii="Times New Roman" w:hAnsi="Times New Roman" w:cs="Times New Roman"/>
          <w:sz w:val="19"/>
          <w:szCs w:val="19"/>
        </w:rPr>
        <w:t xml:space="preserve">. </w:t>
      </w:r>
      <w:r w:rsidRPr="00DC6CA5">
        <w:rPr>
          <w:w w:val="105"/>
          <w:sz w:val="18"/>
          <w:szCs w:val="18"/>
        </w:rPr>
        <w:t>roku veku a mladiství do dovŕšenia 15. roku veku,</w:t>
      </w:r>
    </w:p>
    <w:p w:rsidR="00D90966" w:rsidRPr="00DC6CA5" w:rsidRDefault="00D90966" w:rsidP="00B21822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 xml:space="preserve">žiaci a študenti základných a stredných škôl podľa osobitného predpisu (zákon NR SR  </w:t>
      </w:r>
      <w:r w:rsidRPr="00DC6CA5">
        <w:rPr>
          <w:rStyle w:val="st1"/>
          <w:rFonts w:cs="Arial"/>
          <w:sz w:val="20"/>
          <w:szCs w:val="20"/>
        </w:rPr>
        <w:t xml:space="preserve">č. 245/2008 Z.z. o výchove a vzdelávaní (školský </w:t>
      </w:r>
      <w:r w:rsidRPr="00DC6CA5">
        <w:rPr>
          <w:rStyle w:val="st1"/>
          <w:rFonts w:cs="Arial"/>
          <w:b/>
          <w:bCs/>
          <w:sz w:val="20"/>
          <w:szCs w:val="20"/>
        </w:rPr>
        <w:t>zákon</w:t>
      </w:r>
      <w:r w:rsidRPr="00DC6CA5">
        <w:rPr>
          <w:rStyle w:val="st1"/>
          <w:rFonts w:cs="Arial"/>
          <w:sz w:val="20"/>
          <w:szCs w:val="20"/>
        </w:rPr>
        <w:t xml:space="preserve">) a o zmene a doplnení niektorých zákonov v z.n.p. </w:t>
      </w:r>
      <w:r w:rsidRPr="00DC6CA5">
        <w:rPr>
          <w:w w:val="105"/>
          <w:sz w:val="18"/>
          <w:szCs w:val="18"/>
        </w:rPr>
        <w:t>) a študenti vysokých škôl a fakúlt podľa osobitného predpisu (zákon NR SR č</w:t>
      </w:r>
      <w:r w:rsidRPr="00DC6CA5">
        <w:rPr>
          <w:w w:val="121"/>
          <w:sz w:val="18"/>
          <w:szCs w:val="18"/>
        </w:rPr>
        <w:t xml:space="preserve">. </w:t>
      </w:r>
      <w:r w:rsidRPr="00DC6CA5">
        <w:rPr>
          <w:sz w:val="18"/>
          <w:szCs w:val="18"/>
        </w:rPr>
        <w:t xml:space="preserve">131/2002 </w:t>
      </w:r>
      <w:r w:rsidRPr="00DC6CA5">
        <w:rPr>
          <w:w w:val="105"/>
          <w:sz w:val="18"/>
          <w:szCs w:val="18"/>
        </w:rPr>
        <w:t>Z. z. o vysokých školách v znení neskorších predpisov) v dennej forme štúdia do získania vysokoškolského vzdelania druhého stupňa, najneskôr do dovŕšenia 26. roku veku,</w:t>
      </w:r>
    </w:p>
    <w:p w:rsidR="00D90966" w:rsidRPr="00DC6CA5" w:rsidRDefault="00D90966" w:rsidP="00B21822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žiaci a študenti do dovŕšenia 26. roku veku študujúci v zahraničí, ktorých štúdium sa považuje za ekvivalent štúdia na školách zriadených v Slovenskej republike v dennej forme štúdia,</w:t>
      </w:r>
    </w:p>
    <w:p w:rsidR="00D90966" w:rsidRPr="00DC6CA5" w:rsidRDefault="00D90966" w:rsidP="00B21822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8"/>
          <w:sz w:val="18"/>
          <w:szCs w:val="18"/>
        </w:rPr>
        <w:t>držitelia preukazu ŤZP a ŤZP – S, sprievodca držiteľa preukazu ŤZP – S.</w:t>
      </w:r>
    </w:p>
    <w:p w:rsidR="00D90966" w:rsidRPr="00DC6CA5" w:rsidRDefault="00D90966" w:rsidP="00F75C85">
      <w:pPr>
        <w:pStyle w:val="tl"/>
        <w:spacing w:before="14" w:line="225" w:lineRule="exact"/>
        <w:ind w:left="284"/>
        <w:jc w:val="both"/>
        <w:rPr>
          <w:w w:val="105"/>
          <w:sz w:val="18"/>
          <w:szCs w:val="18"/>
        </w:rPr>
      </w:pPr>
    </w:p>
    <w:p w:rsidR="00D90966" w:rsidRPr="00DC6CA5" w:rsidRDefault="00D90966" w:rsidP="00F75C85">
      <w:pPr>
        <w:pStyle w:val="tl"/>
        <w:numPr>
          <w:ilvl w:val="0"/>
          <w:numId w:val="27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Bezplatná preprava:</w:t>
      </w:r>
    </w:p>
    <w:p w:rsidR="00D90966" w:rsidRPr="00DC6CA5" w:rsidRDefault="00D90966" w:rsidP="008C5376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deti do dovŕšenia 6. roku veku,</w:t>
      </w:r>
    </w:p>
    <w:p w:rsidR="00D90966" w:rsidRPr="00DC6CA5" w:rsidRDefault="00D90966" w:rsidP="00851F06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dôchodcovia po dovŕšení 70. roku veku.</w:t>
      </w:r>
    </w:p>
    <w:p w:rsidR="00D90966" w:rsidRPr="00DC6CA5" w:rsidRDefault="00D90966" w:rsidP="0089625D">
      <w:pPr>
        <w:pStyle w:val="tl"/>
        <w:spacing w:before="14" w:line="225" w:lineRule="exact"/>
        <w:ind w:left="284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c) osoby, ktoré majú nárok na zľavnené cestovné a sú držiteľom dopravnej karty vydanej dopravcom        a  zároveň sú držiteľom vernostnej karty vydanej mestom Dunajská Streda,</w:t>
      </w:r>
    </w:p>
    <w:p w:rsidR="00D90966" w:rsidRPr="00DC6CA5" w:rsidRDefault="00D90966" w:rsidP="0089625D">
      <w:pPr>
        <w:pStyle w:val="tl"/>
        <w:spacing w:before="14" w:line="225" w:lineRule="exact"/>
        <w:ind w:left="284"/>
        <w:jc w:val="both"/>
        <w:rPr>
          <w:w w:val="105"/>
          <w:sz w:val="18"/>
          <w:szCs w:val="18"/>
        </w:rPr>
      </w:pPr>
      <w:r w:rsidRPr="00AE56D8">
        <w:rPr>
          <w:w w:val="105"/>
          <w:sz w:val="18"/>
          <w:szCs w:val="18"/>
        </w:rPr>
        <w:t>d) poberatelia starobného dôchodku a predčasného starobného dôchodku do dovŕšenia 70. roku veku,</w:t>
      </w:r>
      <w:r w:rsidRPr="00DC6CA5">
        <w:rPr>
          <w:w w:val="105"/>
          <w:sz w:val="18"/>
          <w:szCs w:val="18"/>
        </w:rPr>
        <w:t xml:space="preserve"> ktorí sú držiteľom dopravnej karty vydanej dopravcom a zároveň sú držiteľom vernostnej karty vydanej mestom Dunajská Streda.</w:t>
      </w:r>
    </w:p>
    <w:p w:rsidR="00D90966" w:rsidRPr="00DC6CA5" w:rsidRDefault="00D90966" w:rsidP="0089625D">
      <w:pPr>
        <w:pStyle w:val="tl"/>
        <w:spacing w:before="14" w:line="225" w:lineRule="exact"/>
        <w:ind w:left="284"/>
        <w:jc w:val="both"/>
        <w:rPr>
          <w:w w:val="105"/>
          <w:sz w:val="18"/>
          <w:szCs w:val="18"/>
        </w:rPr>
      </w:pPr>
    </w:p>
    <w:p w:rsidR="00D90966" w:rsidRPr="00DC6CA5" w:rsidRDefault="00D90966" w:rsidP="00851F06">
      <w:pPr>
        <w:pStyle w:val="tl"/>
        <w:numPr>
          <w:ilvl w:val="0"/>
          <w:numId w:val="27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Dovozné:</w:t>
      </w:r>
    </w:p>
    <w:p w:rsidR="00D90966" w:rsidRPr="00DC6CA5" w:rsidRDefault="00D90966" w:rsidP="00851F06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 xml:space="preserve">batožina, o rozmeroch väčších ako </w:t>
      </w:r>
      <w:smartTag w:uri="urn:schemas-microsoft-com:office:smarttags" w:element="metricconverter">
        <w:smartTagPr>
          <w:attr w:name="ProductID" w:val="20 cm"/>
        </w:smartTagPr>
        <w:r w:rsidRPr="00DC6CA5">
          <w:rPr>
            <w:w w:val="105"/>
            <w:sz w:val="18"/>
            <w:szCs w:val="18"/>
          </w:rPr>
          <w:t>20 cm</w:t>
        </w:r>
      </w:smartTag>
      <w:r w:rsidRPr="00DC6CA5">
        <w:rPr>
          <w:w w:val="105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DC6CA5">
          <w:rPr>
            <w:w w:val="105"/>
            <w:sz w:val="18"/>
            <w:szCs w:val="18"/>
          </w:rPr>
          <w:t>30 cm</w:t>
        </w:r>
      </w:smartTag>
      <w:r w:rsidRPr="00DC6CA5">
        <w:rPr>
          <w:w w:val="105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C6CA5">
          <w:rPr>
            <w:w w:val="105"/>
            <w:sz w:val="18"/>
            <w:szCs w:val="18"/>
          </w:rPr>
          <w:t>50 cm</w:t>
        </w:r>
      </w:smartTag>
      <w:r w:rsidRPr="00DC6CA5">
        <w:rPr>
          <w:w w:val="105"/>
          <w:sz w:val="18"/>
          <w:szCs w:val="18"/>
        </w:rPr>
        <w:t xml:space="preserve">, batožina v tvare valca, ktorého dĺžka presahuje </w:t>
      </w:r>
      <w:smartTag w:uri="urn:schemas-microsoft-com:office:smarttags" w:element="metricconverter">
        <w:smartTagPr>
          <w:attr w:name="ProductID" w:val="150 cm"/>
        </w:smartTagPr>
        <w:r w:rsidRPr="00DC6CA5">
          <w:rPr>
            <w:w w:val="105"/>
            <w:sz w:val="18"/>
            <w:szCs w:val="18"/>
          </w:rPr>
          <w:t>150 cm</w:t>
        </w:r>
      </w:smartTag>
      <w:r w:rsidRPr="00DC6CA5">
        <w:rPr>
          <w:w w:val="105"/>
          <w:sz w:val="18"/>
          <w:szCs w:val="18"/>
        </w:rPr>
        <w:t xml:space="preserve"> a priemer presahuje </w:t>
      </w:r>
      <w:smartTag w:uri="urn:schemas-microsoft-com:office:smarttags" w:element="metricconverter">
        <w:smartTagPr>
          <w:attr w:name="ProductID" w:val="10 cm"/>
        </w:smartTagPr>
        <w:r w:rsidRPr="00DC6CA5">
          <w:rPr>
            <w:w w:val="105"/>
            <w:sz w:val="18"/>
            <w:szCs w:val="18"/>
          </w:rPr>
          <w:t>10 cm</w:t>
        </w:r>
      </w:smartTag>
      <w:r w:rsidRPr="00DC6CA5">
        <w:rPr>
          <w:w w:val="105"/>
          <w:sz w:val="18"/>
          <w:szCs w:val="18"/>
        </w:rPr>
        <w:t xml:space="preserve">, batožina v tvare dosky o rozmeroch väčších ako </w:t>
      </w:r>
      <w:smartTag w:uri="urn:schemas-microsoft-com:office:smarttags" w:element="metricconverter">
        <w:smartTagPr>
          <w:attr w:name="ProductID" w:val="5 cm"/>
        </w:smartTagPr>
        <w:r w:rsidRPr="00DC6CA5">
          <w:rPr>
            <w:w w:val="105"/>
            <w:sz w:val="18"/>
            <w:szCs w:val="18"/>
          </w:rPr>
          <w:t>5 cm</w:t>
        </w:r>
      </w:smartTag>
      <w:r w:rsidRPr="00DC6CA5">
        <w:rPr>
          <w:w w:val="105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100 cm"/>
        </w:smartTagPr>
        <w:r w:rsidRPr="00DC6CA5">
          <w:rPr>
            <w:w w:val="105"/>
            <w:sz w:val="18"/>
            <w:szCs w:val="18"/>
          </w:rPr>
          <w:t>100 cm</w:t>
        </w:r>
      </w:smartTag>
      <w:r w:rsidRPr="00DC6CA5">
        <w:rPr>
          <w:w w:val="105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DC6CA5">
          <w:rPr>
            <w:w w:val="105"/>
            <w:sz w:val="18"/>
            <w:szCs w:val="18"/>
          </w:rPr>
          <w:t>80 cm</w:t>
        </w:r>
      </w:smartTag>
      <w:r w:rsidRPr="00DC6CA5">
        <w:rPr>
          <w:w w:val="105"/>
          <w:sz w:val="18"/>
          <w:szCs w:val="18"/>
        </w:rPr>
        <w:t xml:space="preserve">. Dovozné sa uplatňuje v prípadoch, keď ktorýkoľvek (aj jeden) rozmer presahuje stanovené rozmery. Hmotnosť batožiny nesmie presiahnuť </w:t>
      </w:r>
      <w:smartTag w:uri="urn:schemas-microsoft-com:office:smarttags" w:element="metricconverter">
        <w:smartTagPr>
          <w:attr w:name="ProductID" w:val="25 kg"/>
        </w:smartTagPr>
        <w:r w:rsidRPr="00DC6CA5">
          <w:rPr>
            <w:w w:val="105"/>
            <w:sz w:val="18"/>
            <w:szCs w:val="18"/>
          </w:rPr>
          <w:t>25 kg</w:t>
        </w:r>
      </w:smartTag>
      <w:r w:rsidRPr="00DC6CA5">
        <w:rPr>
          <w:w w:val="105"/>
          <w:sz w:val="18"/>
          <w:szCs w:val="18"/>
        </w:rPr>
        <w:t>,</w:t>
      </w:r>
    </w:p>
    <w:p w:rsidR="00D90966" w:rsidRPr="00DC6CA5" w:rsidRDefault="00D90966" w:rsidP="00851F06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pes a iné drobné zvieratá v schránkach s pevným dnom,</w:t>
      </w:r>
    </w:p>
    <w:p w:rsidR="00D90966" w:rsidRPr="00DC6CA5" w:rsidRDefault="00D90966" w:rsidP="00851F06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prázdny detský kočík,</w:t>
      </w:r>
    </w:p>
    <w:p w:rsidR="00D90966" w:rsidRPr="00DC6CA5" w:rsidRDefault="00D90966" w:rsidP="00851F06">
      <w:pPr>
        <w:pStyle w:val="tl"/>
        <w:numPr>
          <w:ilvl w:val="1"/>
          <w:numId w:val="27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bezplatne sa prepravujú detské kočíky s dieťaťom, invalidné vozíky a vodiace psy.</w:t>
      </w:r>
    </w:p>
    <w:p w:rsidR="00D90966" w:rsidRPr="00DC6CA5" w:rsidRDefault="00D90966" w:rsidP="00022EF2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022EF2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022EF2">
      <w:pPr>
        <w:pStyle w:val="tl"/>
        <w:spacing w:before="14" w:line="225" w:lineRule="exact"/>
        <w:jc w:val="center"/>
        <w:rPr>
          <w:b/>
          <w:w w:val="105"/>
          <w:sz w:val="22"/>
          <w:szCs w:val="22"/>
        </w:rPr>
      </w:pPr>
      <w:r w:rsidRPr="00DC6CA5">
        <w:rPr>
          <w:b/>
          <w:w w:val="105"/>
          <w:sz w:val="22"/>
          <w:szCs w:val="22"/>
        </w:rPr>
        <w:t>Čl III.</w:t>
      </w:r>
    </w:p>
    <w:p w:rsidR="00D90966" w:rsidRPr="00DC6CA5" w:rsidRDefault="00D90966" w:rsidP="00022EF2">
      <w:pPr>
        <w:pStyle w:val="tl"/>
        <w:spacing w:before="14" w:line="225" w:lineRule="exact"/>
        <w:jc w:val="center"/>
        <w:rPr>
          <w:b/>
          <w:w w:val="105"/>
          <w:sz w:val="22"/>
          <w:szCs w:val="22"/>
        </w:rPr>
      </w:pPr>
      <w:r w:rsidRPr="00DC6CA5">
        <w:rPr>
          <w:b/>
          <w:w w:val="105"/>
          <w:sz w:val="22"/>
          <w:szCs w:val="22"/>
        </w:rPr>
        <w:t>Preukazovanie nároku na zľavnené cestovné</w:t>
      </w:r>
    </w:p>
    <w:p w:rsidR="00D90966" w:rsidRPr="00DC6CA5" w:rsidRDefault="00D90966" w:rsidP="00022EF2">
      <w:pPr>
        <w:pStyle w:val="tl"/>
        <w:spacing w:before="14" w:line="225" w:lineRule="exact"/>
        <w:jc w:val="center"/>
        <w:rPr>
          <w:b/>
          <w:w w:val="105"/>
          <w:sz w:val="22"/>
          <w:szCs w:val="22"/>
        </w:rPr>
      </w:pPr>
    </w:p>
    <w:p w:rsidR="00D90966" w:rsidRPr="00DC6CA5" w:rsidRDefault="00D90966" w:rsidP="00022EF2">
      <w:pPr>
        <w:pStyle w:val="tl"/>
        <w:numPr>
          <w:ilvl w:val="0"/>
          <w:numId w:val="30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Bezplatná preprava:</w:t>
      </w:r>
    </w:p>
    <w:p w:rsidR="00D90966" w:rsidRPr="00DC6CA5" w:rsidRDefault="00D90966" w:rsidP="00022EF2">
      <w:pPr>
        <w:pStyle w:val="tl"/>
        <w:numPr>
          <w:ilvl w:val="0"/>
          <w:numId w:val="31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5"/>
          <w:sz w:val="18"/>
          <w:szCs w:val="18"/>
        </w:rPr>
        <w:t>občania po dovŕšení 70. roku veku sa preukazujú preukazom totožnosti alebo cestovným pasom,</w:t>
      </w:r>
    </w:p>
    <w:p w:rsidR="00D90966" w:rsidRPr="00AE56D8" w:rsidRDefault="00D90966" w:rsidP="005960D7">
      <w:pPr>
        <w:pStyle w:val="tl"/>
        <w:spacing w:before="14" w:line="225" w:lineRule="exact"/>
        <w:ind w:left="284"/>
        <w:jc w:val="both"/>
        <w:rPr>
          <w:w w:val="105"/>
          <w:sz w:val="18"/>
          <w:szCs w:val="18"/>
        </w:rPr>
      </w:pPr>
      <w:r w:rsidRPr="00AE56D8">
        <w:rPr>
          <w:w w:val="105"/>
          <w:sz w:val="18"/>
          <w:szCs w:val="18"/>
        </w:rPr>
        <w:t xml:space="preserve"> b) osoby podľa Ćl. II  bod 3. písm. c) sa preukazujú dopravnou kartou vydanou dopravcom,</w:t>
      </w:r>
    </w:p>
    <w:p w:rsidR="00D90966" w:rsidRPr="00AE56D8" w:rsidRDefault="00D90966" w:rsidP="0089625D">
      <w:pPr>
        <w:pStyle w:val="tl"/>
        <w:spacing w:before="14" w:line="225" w:lineRule="exact"/>
        <w:ind w:left="284"/>
        <w:jc w:val="both"/>
        <w:rPr>
          <w:w w:val="105"/>
          <w:sz w:val="18"/>
          <w:szCs w:val="18"/>
        </w:rPr>
      </w:pPr>
      <w:r w:rsidRPr="00AE56D8">
        <w:rPr>
          <w:w w:val="105"/>
          <w:sz w:val="18"/>
          <w:szCs w:val="18"/>
        </w:rPr>
        <w:t xml:space="preserve"> c) poberatelia starobného dôchodku a predčasného starobného dôchodku do dovŕšenia 70. roku veku sa preukazujú dopravnou kartou vydanou dopravcom.    </w:t>
      </w:r>
    </w:p>
    <w:p w:rsidR="00D90966" w:rsidRPr="00AE56D8" w:rsidRDefault="00D90966" w:rsidP="0052703E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895056">
      <w:pPr>
        <w:pStyle w:val="tl"/>
        <w:numPr>
          <w:ilvl w:val="0"/>
          <w:numId w:val="32"/>
        </w:numPr>
        <w:spacing w:before="14" w:line="225" w:lineRule="exact"/>
        <w:ind w:left="284" w:hanging="284"/>
        <w:jc w:val="both"/>
        <w:rPr>
          <w:w w:val="105"/>
          <w:sz w:val="18"/>
          <w:szCs w:val="18"/>
        </w:rPr>
      </w:pPr>
      <w:r w:rsidRPr="00DC6CA5">
        <w:rPr>
          <w:b/>
          <w:w w:val="105"/>
          <w:sz w:val="18"/>
          <w:szCs w:val="18"/>
        </w:rPr>
        <w:t>Preprava za zľavnené cestovné:</w:t>
      </w:r>
    </w:p>
    <w:p w:rsidR="00D90966" w:rsidRPr="00DC6CA5" w:rsidRDefault="00D90966" w:rsidP="00565925">
      <w:pPr>
        <w:pStyle w:val="tl"/>
        <w:numPr>
          <w:ilvl w:val="0"/>
          <w:numId w:val="33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8"/>
          <w:sz w:val="18"/>
          <w:szCs w:val="18"/>
        </w:rPr>
        <w:t>deti od 6 do 15 rokov sa v prípade, keď vzrast, resp. vizáž dieťaťa nekorešponduje s požadovaným nárokom na zľavnenú prepravu, preukazuje dopravnou kartou vydanou dopravcom, resp. cestovným pasom dieťaťa,</w:t>
      </w:r>
    </w:p>
    <w:p w:rsidR="00D90966" w:rsidRPr="00DC6CA5" w:rsidRDefault="00D90966" w:rsidP="00BB09CE">
      <w:pPr>
        <w:pStyle w:val="tl"/>
        <w:numPr>
          <w:ilvl w:val="0"/>
          <w:numId w:val="33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8"/>
          <w:sz w:val="18"/>
          <w:szCs w:val="18"/>
        </w:rPr>
        <w:t>žiaci a študenti uvedení v Čl. II odsek 2 písm. b), c) sa preukazujú dopravnou kartou vydanou dopravcom, prípadne elektronicky aktivovaným študentským preukazom ISIC vydaným príslušnou školou. V prípade, že ISIC preukaz bol vydaný zahraničnou školou, elektronická aktivácia sa nevyžaduje a doba platnosti preukazu musí byť zrejmá z jeho vizualizácie,</w:t>
      </w:r>
    </w:p>
    <w:p w:rsidR="00D90966" w:rsidRPr="00DC6CA5" w:rsidRDefault="00D90966" w:rsidP="00E161E0">
      <w:pPr>
        <w:pStyle w:val="tl"/>
        <w:numPr>
          <w:ilvl w:val="0"/>
          <w:numId w:val="33"/>
        </w:numPr>
        <w:spacing w:before="14" w:line="225" w:lineRule="exact"/>
        <w:ind w:left="567" w:hanging="283"/>
        <w:jc w:val="both"/>
        <w:rPr>
          <w:w w:val="105"/>
          <w:sz w:val="18"/>
          <w:szCs w:val="18"/>
        </w:rPr>
      </w:pPr>
      <w:r w:rsidRPr="00DC6CA5">
        <w:rPr>
          <w:w w:val="108"/>
          <w:sz w:val="18"/>
          <w:szCs w:val="18"/>
        </w:rPr>
        <w:t>držitelia preukazov ŤZP a ŤZP – S sa preukazujú preukazom vydaného podľa osobitného zákona. Tento preukaz musí mať dátum vydania po 31.12. 2009.</w:t>
      </w:r>
    </w:p>
    <w:p w:rsidR="00D90966" w:rsidRPr="00DC6CA5" w:rsidRDefault="00D90966" w:rsidP="00E161E0">
      <w:pPr>
        <w:pStyle w:val="tl"/>
        <w:spacing w:before="14" w:line="225" w:lineRule="exact"/>
        <w:jc w:val="both"/>
        <w:rPr>
          <w:w w:val="105"/>
          <w:sz w:val="18"/>
          <w:szCs w:val="18"/>
        </w:rPr>
      </w:pPr>
    </w:p>
    <w:p w:rsidR="00D90966" w:rsidRPr="00DC6CA5" w:rsidRDefault="00D90966" w:rsidP="00E161E0">
      <w:pPr>
        <w:pStyle w:val="tl"/>
        <w:spacing w:before="14" w:line="225" w:lineRule="exact"/>
        <w:jc w:val="both"/>
        <w:rPr>
          <w:w w:val="105"/>
          <w:sz w:val="18"/>
          <w:szCs w:val="18"/>
        </w:rPr>
        <w:sectPr w:rsidR="00D90966" w:rsidRPr="00DC6CA5" w:rsidSect="006961B6">
          <w:type w:val="continuous"/>
          <w:pgSz w:w="11907" w:h="16840"/>
          <w:pgMar w:top="950" w:right="1417" w:bottom="360" w:left="1418" w:header="708" w:footer="708" w:gutter="0"/>
          <w:cols w:space="708"/>
          <w:noEndnote/>
        </w:sectPr>
      </w:pPr>
    </w:p>
    <w:p w:rsidR="00D90966" w:rsidRPr="00DC6CA5" w:rsidRDefault="00D90966" w:rsidP="00E161E0">
      <w:pPr>
        <w:pStyle w:val="tl"/>
        <w:spacing w:line="278" w:lineRule="exact"/>
        <w:ind w:right="557"/>
        <w:jc w:val="center"/>
        <w:rPr>
          <w:b/>
          <w:sz w:val="22"/>
          <w:szCs w:val="22"/>
        </w:rPr>
      </w:pPr>
      <w:r w:rsidRPr="00DC6CA5">
        <w:rPr>
          <w:b/>
          <w:sz w:val="22"/>
          <w:szCs w:val="22"/>
        </w:rPr>
        <w:t>Čl. IV</w:t>
      </w:r>
    </w:p>
    <w:p w:rsidR="00D90966" w:rsidRPr="00DC6CA5" w:rsidRDefault="00D90966" w:rsidP="00E161E0">
      <w:pPr>
        <w:pStyle w:val="tl"/>
        <w:spacing w:line="278" w:lineRule="exact"/>
        <w:ind w:right="557"/>
        <w:jc w:val="center"/>
        <w:rPr>
          <w:sz w:val="18"/>
          <w:szCs w:val="22"/>
        </w:rPr>
      </w:pPr>
      <w:r w:rsidRPr="00DC6CA5">
        <w:rPr>
          <w:b/>
          <w:sz w:val="22"/>
          <w:szCs w:val="22"/>
        </w:rPr>
        <w:t>Podmienky prepravy psov</w:t>
      </w:r>
    </w:p>
    <w:p w:rsidR="00D90966" w:rsidRPr="00DC6CA5" w:rsidRDefault="00D90966" w:rsidP="00E161E0">
      <w:pPr>
        <w:pStyle w:val="tl"/>
        <w:spacing w:line="278" w:lineRule="exact"/>
        <w:ind w:right="557"/>
        <w:jc w:val="center"/>
        <w:rPr>
          <w:sz w:val="18"/>
          <w:szCs w:val="22"/>
        </w:rPr>
      </w:pPr>
    </w:p>
    <w:p w:rsidR="00D90966" w:rsidRPr="00DC6CA5" w:rsidRDefault="00D90966" w:rsidP="00C60042">
      <w:pPr>
        <w:pStyle w:val="tl"/>
        <w:numPr>
          <w:ilvl w:val="0"/>
          <w:numId w:val="36"/>
        </w:numPr>
        <w:spacing w:before="9" w:line="225" w:lineRule="exact"/>
        <w:ind w:left="284" w:hanging="284"/>
        <w:jc w:val="both"/>
        <w:rPr>
          <w:w w:val="107"/>
          <w:sz w:val="18"/>
          <w:szCs w:val="18"/>
        </w:rPr>
      </w:pPr>
      <w:r w:rsidRPr="00DC6CA5">
        <w:rPr>
          <w:w w:val="107"/>
          <w:sz w:val="18"/>
          <w:szCs w:val="18"/>
        </w:rPr>
        <w:t xml:space="preserve">Cestujúci so psom bez schránky musí upovedomiť vodiča o nástupe so psom bez schránky (obalu) a musí vodiča informovať, na ktorej zastávke vystupuje. </w:t>
      </w:r>
    </w:p>
    <w:p w:rsidR="00D90966" w:rsidRPr="00DC6CA5" w:rsidRDefault="00D90966" w:rsidP="00301E10">
      <w:pPr>
        <w:pStyle w:val="tl"/>
        <w:numPr>
          <w:ilvl w:val="0"/>
          <w:numId w:val="36"/>
        </w:numPr>
        <w:spacing w:line="276" w:lineRule="auto"/>
        <w:ind w:left="284" w:right="4" w:hanging="284"/>
        <w:jc w:val="both"/>
        <w:rPr>
          <w:w w:val="107"/>
          <w:sz w:val="18"/>
          <w:szCs w:val="18"/>
        </w:rPr>
      </w:pPr>
      <w:r w:rsidRPr="00DC6CA5">
        <w:rPr>
          <w:w w:val="107"/>
          <w:sz w:val="18"/>
          <w:szCs w:val="18"/>
        </w:rPr>
        <w:t>V jednom vozidle so prepravuje najviac jeden pes bez schránky. Pes bez schránky (obalu) sa zásadne neprepravuje na vyhradenom mieste pre prepravu detských kočíkov a na sedadlách autobusu.</w:t>
      </w:r>
    </w:p>
    <w:p w:rsidR="00D90966" w:rsidRPr="00DC6CA5" w:rsidRDefault="00D90966" w:rsidP="00301E10">
      <w:pPr>
        <w:pStyle w:val="tl"/>
        <w:numPr>
          <w:ilvl w:val="0"/>
          <w:numId w:val="36"/>
        </w:numPr>
        <w:spacing w:line="276" w:lineRule="auto"/>
        <w:ind w:left="284" w:hanging="284"/>
        <w:jc w:val="both"/>
        <w:rPr>
          <w:sz w:val="18"/>
          <w:szCs w:val="22"/>
        </w:rPr>
      </w:pPr>
      <w:r w:rsidRPr="00DC6CA5">
        <w:rPr>
          <w:w w:val="107"/>
          <w:sz w:val="18"/>
          <w:szCs w:val="18"/>
        </w:rPr>
        <w:t>Vodiaci pes sa prepravuje spolu so zrakovo postihnutým držiteľom preukazu ŤZP - S v priestore prvej sedačky za vodičom.</w:t>
      </w:r>
    </w:p>
    <w:p w:rsidR="00D90966" w:rsidRPr="00DC6CA5" w:rsidRDefault="00D90966" w:rsidP="00301E10">
      <w:pPr>
        <w:pStyle w:val="tl"/>
        <w:spacing w:line="276" w:lineRule="auto"/>
        <w:jc w:val="center"/>
        <w:rPr>
          <w:b/>
          <w:w w:val="107"/>
          <w:sz w:val="22"/>
          <w:szCs w:val="18"/>
        </w:rPr>
      </w:pPr>
    </w:p>
    <w:p w:rsidR="00D90966" w:rsidRPr="00DC6CA5" w:rsidRDefault="00D90966" w:rsidP="00301E10">
      <w:pPr>
        <w:pStyle w:val="tl"/>
        <w:spacing w:line="276" w:lineRule="auto"/>
        <w:jc w:val="center"/>
        <w:rPr>
          <w:b/>
          <w:w w:val="107"/>
          <w:sz w:val="22"/>
          <w:szCs w:val="18"/>
        </w:rPr>
      </w:pPr>
      <w:r w:rsidRPr="00DC6CA5">
        <w:rPr>
          <w:b/>
          <w:w w:val="107"/>
          <w:sz w:val="22"/>
          <w:szCs w:val="18"/>
        </w:rPr>
        <w:t>Čl. V</w:t>
      </w:r>
    </w:p>
    <w:p w:rsidR="00D90966" w:rsidRPr="00DC6CA5" w:rsidRDefault="00D90966" w:rsidP="00301E10">
      <w:pPr>
        <w:pStyle w:val="tl"/>
        <w:spacing w:line="276" w:lineRule="auto"/>
        <w:jc w:val="center"/>
        <w:rPr>
          <w:w w:val="107"/>
          <w:sz w:val="18"/>
          <w:szCs w:val="18"/>
        </w:rPr>
      </w:pPr>
      <w:r w:rsidRPr="00DC6CA5">
        <w:rPr>
          <w:b/>
          <w:w w:val="107"/>
          <w:sz w:val="22"/>
          <w:szCs w:val="18"/>
        </w:rPr>
        <w:t>Všeobecné pokyny, sankčné úhrady</w:t>
      </w:r>
    </w:p>
    <w:p w:rsidR="00D90966" w:rsidRPr="00DC6CA5" w:rsidRDefault="00D90966" w:rsidP="00301E10">
      <w:pPr>
        <w:pStyle w:val="tl"/>
        <w:spacing w:line="276" w:lineRule="auto"/>
        <w:jc w:val="center"/>
        <w:rPr>
          <w:w w:val="107"/>
          <w:sz w:val="18"/>
          <w:szCs w:val="18"/>
        </w:rPr>
      </w:pPr>
    </w:p>
    <w:p w:rsidR="00D90966" w:rsidRPr="00DC6CA5" w:rsidRDefault="00D90966" w:rsidP="00301E10">
      <w:pPr>
        <w:pStyle w:val="tl"/>
        <w:numPr>
          <w:ilvl w:val="0"/>
          <w:numId w:val="38"/>
        </w:numPr>
        <w:spacing w:line="276" w:lineRule="auto"/>
        <w:ind w:left="284" w:hanging="284"/>
        <w:jc w:val="both"/>
        <w:rPr>
          <w:sz w:val="18"/>
          <w:szCs w:val="22"/>
        </w:rPr>
      </w:pPr>
      <w:r w:rsidRPr="00DC6CA5">
        <w:rPr>
          <w:w w:val="107"/>
          <w:sz w:val="18"/>
          <w:szCs w:val="18"/>
        </w:rPr>
        <w:t>Práva a povinnosti dopravcu a cestujúceho upravuje prepravný poriadok, ktorý vydáva podľa zákona č. 56/2012 Z. z. dopravca, ktorý mestskú autobusovú dopravu prevádzkuje.</w:t>
      </w:r>
    </w:p>
    <w:p w:rsidR="00D90966" w:rsidRPr="00DC6CA5" w:rsidRDefault="00D90966" w:rsidP="00301E10">
      <w:pPr>
        <w:pStyle w:val="tl"/>
        <w:numPr>
          <w:ilvl w:val="0"/>
          <w:numId w:val="38"/>
        </w:numPr>
        <w:spacing w:line="276" w:lineRule="auto"/>
        <w:ind w:left="284" w:hanging="284"/>
        <w:jc w:val="both"/>
        <w:rPr>
          <w:sz w:val="18"/>
          <w:szCs w:val="22"/>
        </w:rPr>
      </w:pPr>
      <w:r w:rsidRPr="00DC6CA5">
        <w:rPr>
          <w:w w:val="107"/>
          <w:sz w:val="18"/>
          <w:szCs w:val="18"/>
        </w:rPr>
        <w:t>Preprava autobusových zásielok je zakázaná.</w:t>
      </w:r>
    </w:p>
    <w:p w:rsidR="00D90966" w:rsidRPr="00DC6CA5" w:rsidRDefault="00D90966" w:rsidP="00301E10">
      <w:pPr>
        <w:pStyle w:val="tl"/>
        <w:numPr>
          <w:ilvl w:val="0"/>
          <w:numId w:val="38"/>
        </w:numPr>
        <w:spacing w:before="24" w:line="225" w:lineRule="exact"/>
        <w:ind w:left="284" w:right="9" w:hanging="284"/>
        <w:jc w:val="both"/>
        <w:rPr>
          <w:w w:val="107"/>
          <w:sz w:val="18"/>
          <w:szCs w:val="18"/>
        </w:rPr>
      </w:pPr>
      <w:r w:rsidRPr="00DC6CA5">
        <w:rPr>
          <w:w w:val="107"/>
          <w:sz w:val="18"/>
          <w:szCs w:val="18"/>
        </w:rPr>
        <w:t>Výška sankčnej úhrady pri nepreukázaní sa cestovným lístkom je 30,00 € a cestovné. V prípade, že cestujúci zaplatí sankčnú úhradu v čase kontroly je to 20,00 €</w:t>
      </w:r>
      <w:r w:rsidRPr="00DC6CA5">
        <w:rPr>
          <w:rFonts w:ascii="Times New Roman" w:hAnsi="Times New Roman" w:cs="Times New Roman"/>
          <w:w w:val="79"/>
          <w:sz w:val="20"/>
          <w:szCs w:val="20"/>
        </w:rPr>
        <w:t xml:space="preserve">  </w:t>
      </w:r>
      <w:r w:rsidRPr="00DC6CA5">
        <w:rPr>
          <w:w w:val="107"/>
          <w:sz w:val="18"/>
          <w:szCs w:val="18"/>
        </w:rPr>
        <w:t xml:space="preserve">a cestovné. </w:t>
      </w:r>
    </w:p>
    <w:p w:rsidR="00D90966" w:rsidRPr="00DC6CA5" w:rsidRDefault="00D90966" w:rsidP="00301E10">
      <w:pPr>
        <w:pStyle w:val="tl"/>
        <w:numPr>
          <w:ilvl w:val="0"/>
          <w:numId w:val="38"/>
        </w:numPr>
        <w:spacing w:line="276" w:lineRule="auto"/>
        <w:ind w:left="284" w:hanging="284"/>
        <w:jc w:val="both"/>
        <w:rPr>
          <w:sz w:val="18"/>
          <w:szCs w:val="22"/>
        </w:rPr>
      </w:pPr>
      <w:r w:rsidRPr="00DC6CA5">
        <w:rPr>
          <w:w w:val="107"/>
          <w:sz w:val="18"/>
          <w:szCs w:val="18"/>
        </w:rPr>
        <w:t>Cestujúci je povinný zaplatiť paušálnu úhradu za znečistenie autobusu 15,00 €</w:t>
      </w:r>
      <w:r w:rsidRPr="00DC6CA5">
        <w:rPr>
          <w:rFonts w:ascii="Times New Roman" w:hAnsi="Times New Roman" w:cs="Times New Roman"/>
          <w:sz w:val="18"/>
          <w:szCs w:val="18"/>
        </w:rPr>
        <w:t xml:space="preserve"> </w:t>
      </w:r>
      <w:r w:rsidRPr="00DC6CA5">
        <w:rPr>
          <w:w w:val="107"/>
          <w:sz w:val="18"/>
          <w:szCs w:val="18"/>
        </w:rPr>
        <w:t>a úhradu za poškodenie autobusu v plnej výške vzniknutej škody.</w:t>
      </w:r>
    </w:p>
    <w:p w:rsidR="00D90966" w:rsidRPr="00DC6CA5" w:rsidRDefault="00D90966" w:rsidP="00301E10">
      <w:pPr>
        <w:pStyle w:val="tl"/>
        <w:spacing w:line="278" w:lineRule="exact"/>
        <w:ind w:left="1703" w:right="557"/>
        <w:jc w:val="center"/>
        <w:rPr>
          <w:sz w:val="22"/>
          <w:szCs w:val="22"/>
        </w:rPr>
      </w:pPr>
    </w:p>
    <w:p w:rsidR="00D90966" w:rsidRPr="00DC6CA5" w:rsidRDefault="00D90966" w:rsidP="001510A6">
      <w:pPr>
        <w:pStyle w:val="tl"/>
        <w:rPr>
          <w:sz w:val="18"/>
          <w:szCs w:val="16"/>
        </w:rPr>
      </w:pPr>
      <w:r w:rsidRPr="00DC6CA5">
        <w:rPr>
          <w:sz w:val="18"/>
          <w:szCs w:val="16"/>
        </w:rPr>
        <w:t>Vypracoval: Ing. Anton Ladziansky</w:t>
      </w:r>
    </w:p>
    <w:p w:rsidR="00D90966" w:rsidRPr="00DC6CA5" w:rsidRDefault="00D90966" w:rsidP="001510A6">
      <w:pPr>
        <w:pStyle w:val="tl"/>
        <w:spacing w:line="278" w:lineRule="exact"/>
        <w:ind w:right="557"/>
        <w:jc w:val="both"/>
        <w:rPr>
          <w:sz w:val="22"/>
          <w:szCs w:val="22"/>
        </w:rPr>
      </w:pPr>
    </w:p>
    <w:p w:rsidR="00D90966" w:rsidRPr="00DC6CA5" w:rsidRDefault="00D90966" w:rsidP="00301E10">
      <w:pPr>
        <w:pStyle w:val="tl"/>
        <w:spacing w:line="278" w:lineRule="exact"/>
        <w:ind w:right="557"/>
        <w:rPr>
          <w:sz w:val="18"/>
          <w:szCs w:val="22"/>
        </w:rPr>
      </w:pPr>
      <w:r w:rsidRPr="00DC6CA5">
        <w:rPr>
          <w:sz w:val="18"/>
          <w:szCs w:val="22"/>
        </w:rPr>
        <w:t>V Dunajskej Strede, dňa ..............2014</w:t>
      </w:r>
    </w:p>
    <w:p w:rsidR="00D90966" w:rsidRPr="00DC6CA5" w:rsidRDefault="00D90966" w:rsidP="006961B6">
      <w:pPr>
        <w:pStyle w:val="tl"/>
        <w:ind w:right="557"/>
        <w:rPr>
          <w:sz w:val="18"/>
          <w:szCs w:val="22"/>
        </w:rPr>
      </w:pPr>
    </w:p>
    <w:p w:rsidR="00D90966" w:rsidRPr="00DC6CA5" w:rsidRDefault="00D90966" w:rsidP="006961B6">
      <w:pPr>
        <w:pStyle w:val="tl"/>
        <w:ind w:left="5040" w:right="557" w:firstLine="720"/>
        <w:jc w:val="center"/>
        <w:rPr>
          <w:sz w:val="18"/>
          <w:szCs w:val="22"/>
        </w:rPr>
      </w:pPr>
    </w:p>
    <w:p w:rsidR="00D90966" w:rsidRPr="00DC6CA5" w:rsidRDefault="00D90966" w:rsidP="006961B6">
      <w:pPr>
        <w:pStyle w:val="tl"/>
        <w:ind w:left="5040" w:right="557" w:firstLine="720"/>
        <w:jc w:val="center"/>
        <w:rPr>
          <w:sz w:val="18"/>
          <w:szCs w:val="22"/>
        </w:rPr>
      </w:pPr>
    </w:p>
    <w:p w:rsidR="00D90966" w:rsidRPr="00DC6CA5" w:rsidRDefault="00D90966" w:rsidP="006961B6">
      <w:pPr>
        <w:pStyle w:val="tl"/>
        <w:ind w:left="5040" w:right="557" w:firstLine="720"/>
        <w:jc w:val="center"/>
        <w:rPr>
          <w:sz w:val="18"/>
          <w:szCs w:val="22"/>
        </w:rPr>
      </w:pPr>
    </w:p>
    <w:p w:rsidR="00D90966" w:rsidRPr="00DC6CA5" w:rsidRDefault="00D90966" w:rsidP="006961B6">
      <w:pPr>
        <w:pStyle w:val="tl"/>
        <w:ind w:left="5040" w:right="557" w:firstLine="720"/>
        <w:jc w:val="center"/>
        <w:rPr>
          <w:sz w:val="18"/>
          <w:szCs w:val="22"/>
        </w:rPr>
      </w:pPr>
    </w:p>
    <w:p w:rsidR="00D90966" w:rsidRPr="00DC6CA5" w:rsidRDefault="00D90966" w:rsidP="006961B6">
      <w:pPr>
        <w:pStyle w:val="tl"/>
        <w:ind w:left="5040" w:right="557" w:firstLine="720"/>
        <w:jc w:val="center"/>
        <w:rPr>
          <w:sz w:val="18"/>
          <w:szCs w:val="22"/>
        </w:rPr>
      </w:pPr>
      <w:r w:rsidRPr="00DC6CA5">
        <w:rPr>
          <w:sz w:val="18"/>
          <w:szCs w:val="22"/>
        </w:rPr>
        <w:t xml:space="preserve">Ing. Michal Humeník, </w:t>
      </w:r>
    </w:p>
    <w:p w:rsidR="00D90966" w:rsidRPr="00DC6CA5" w:rsidRDefault="00D90966" w:rsidP="006961B6">
      <w:pPr>
        <w:pStyle w:val="tl"/>
        <w:jc w:val="center"/>
        <w:rPr>
          <w:sz w:val="18"/>
          <w:szCs w:val="22"/>
        </w:rPr>
      </w:pPr>
      <w:r w:rsidRPr="00DC6CA5">
        <w:rPr>
          <w:sz w:val="18"/>
          <w:szCs w:val="22"/>
        </w:rPr>
        <w:t xml:space="preserve">                                                                  </w:t>
      </w:r>
      <w:r w:rsidRPr="00DC6CA5">
        <w:rPr>
          <w:sz w:val="18"/>
          <w:szCs w:val="22"/>
        </w:rPr>
        <w:tab/>
      </w:r>
      <w:r w:rsidRPr="00DC6CA5">
        <w:rPr>
          <w:sz w:val="18"/>
          <w:szCs w:val="22"/>
        </w:rPr>
        <w:tab/>
      </w:r>
      <w:r w:rsidRPr="00DC6CA5">
        <w:rPr>
          <w:sz w:val="18"/>
          <w:szCs w:val="22"/>
        </w:rPr>
        <w:tab/>
        <w:t xml:space="preserve">  riaditeľ spoločnosti</w:t>
      </w:r>
    </w:p>
    <w:p w:rsidR="00D90966" w:rsidRPr="00DC6CA5" w:rsidRDefault="00D90966" w:rsidP="006961B6">
      <w:pPr>
        <w:pStyle w:val="tl"/>
        <w:jc w:val="center"/>
        <w:rPr>
          <w:w w:val="64"/>
          <w:sz w:val="16"/>
          <w:szCs w:val="16"/>
        </w:rPr>
      </w:pPr>
      <w:r w:rsidRPr="00DC6CA5">
        <w:rPr>
          <w:sz w:val="18"/>
          <w:szCs w:val="22"/>
        </w:rPr>
        <w:tab/>
      </w:r>
      <w:r w:rsidRPr="00DC6CA5">
        <w:rPr>
          <w:sz w:val="18"/>
          <w:szCs w:val="22"/>
        </w:rPr>
        <w:tab/>
      </w:r>
      <w:r w:rsidRPr="00DC6CA5">
        <w:rPr>
          <w:sz w:val="18"/>
          <w:szCs w:val="22"/>
        </w:rPr>
        <w:tab/>
      </w:r>
      <w:r w:rsidRPr="00DC6CA5">
        <w:rPr>
          <w:sz w:val="18"/>
          <w:szCs w:val="22"/>
        </w:rPr>
        <w:tab/>
      </w:r>
      <w:r w:rsidRPr="00DC6CA5">
        <w:rPr>
          <w:sz w:val="18"/>
          <w:szCs w:val="22"/>
        </w:rPr>
        <w:tab/>
      </w:r>
      <w:r w:rsidRPr="00DC6CA5">
        <w:rPr>
          <w:w w:val="64"/>
          <w:sz w:val="16"/>
          <w:szCs w:val="16"/>
        </w:rPr>
        <w:t xml:space="preserve"> </w:t>
      </w:r>
    </w:p>
    <w:p w:rsidR="00D90966" w:rsidRPr="00DC6CA5" w:rsidRDefault="00D90966">
      <w:pPr>
        <w:pStyle w:val="tl"/>
        <w:rPr>
          <w:sz w:val="16"/>
          <w:szCs w:val="16"/>
        </w:rPr>
      </w:pPr>
    </w:p>
    <w:p w:rsidR="00D90966" w:rsidRPr="00DC6CA5" w:rsidRDefault="00D90966">
      <w:pPr>
        <w:pStyle w:val="tl"/>
        <w:rPr>
          <w:sz w:val="16"/>
          <w:szCs w:val="16"/>
        </w:rPr>
      </w:pPr>
    </w:p>
    <w:sectPr w:rsidR="00D90966" w:rsidRPr="00DC6CA5" w:rsidSect="006961B6">
      <w:type w:val="continuous"/>
      <w:pgSz w:w="11907" w:h="16840"/>
      <w:pgMar w:top="1134" w:right="1275" w:bottom="360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A81376"/>
    <w:lvl w:ilvl="0">
      <w:numFmt w:val="bullet"/>
      <w:lvlText w:val="*"/>
      <w:lvlJc w:val="left"/>
    </w:lvl>
  </w:abstractNum>
  <w:abstractNum w:abstractNumId="1">
    <w:nsid w:val="015126E0"/>
    <w:multiLevelType w:val="singleLevel"/>
    <w:tmpl w:val="D638BA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4462943"/>
    <w:multiLevelType w:val="hybridMultilevel"/>
    <w:tmpl w:val="57303A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A46CD"/>
    <w:multiLevelType w:val="singleLevel"/>
    <w:tmpl w:val="D284BD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6819EA"/>
    <w:multiLevelType w:val="singleLevel"/>
    <w:tmpl w:val="D284BD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EE515BD"/>
    <w:multiLevelType w:val="hybridMultilevel"/>
    <w:tmpl w:val="41CEE0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84584"/>
    <w:multiLevelType w:val="singleLevel"/>
    <w:tmpl w:val="38F0B46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8982662"/>
    <w:multiLevelType w:val="singleLevel"/>
    <w:tmpl w:val="D284BD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B000B48"/>
    <w:multiLevelType w:val="hybridMultilevel"/>
    <w:tmpl w:val="0194C388"/>
    <w:lvl w:ilvl="0" w:tplc="AD18FD3A">
      <w:start w:val="3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A5485"/>
    <w:multiLevelType w:val="singleLevel"/>
    <w:tmpl w:val="D638BA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F1E74C0"/>
    <w:multiLevelType w:val="singleLevel"/>
    <w:tmpl w:val="77C4F83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73D12F6"/>
    <w:multiLevelType w:val="singleLevel"/>
    <w:tmpl w:val="42564E8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85E66CB"/>
    <w:multiLevelType w:val="multilevel"/>
    <w:tmpl w:val="0C2A2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0FE3D1F"/>
    <w:multiLevelType w:val="singleLevel"/>
    <w:tmpl w:val="D284BD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287312B"/>
    <w:multiLevelType w:val="hybridMultilevel"/>
    <w:tmpl w:val="9408664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75677C"/>
    <w:multiLevelType w:val="singleLevel"/>
    <w:tmpl w:val="890868B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D192B2F"/>
    <w:multiLevelType w:val="singleLevel"/>
    <w:tmpl w:val="D638BA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D7E3E6E"/>
    <w:multiLevelType w:val="hybridMultilevel"/>
    <w:tmpl w:val="6A3CEE3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0181B3F"/>
    <w:multiLevelType w:val="hybridMultilevel"/>
    <w:tmpl w:val="FA2C2828"/>
    <w:lvl w:ilvl="0" w:tplc="ACA6F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91B27"/>
    <w:multiLevelType w:val="singleLevel"/>
    <w:tmpl w:val="890868B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23F29F0"/>
    <w:multiLevelType w:val="hybridMultilevel"/>
    <w:tmpl w:val="5F2C85F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44C74D72"/>
    <w:multiLevelType w:val="hybridMultilevel"/>
    <w:tmpl w:val="CF709680"/>
    <w:lvl w:ilvl="0" w:tplc="434E96B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0C2C54"/>
    <w:multiLevelType w:val="multilevel"/>
    <w:tmpl w:val="0C2A2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5E23846"/>
    <w:multiLevelType w:val="singleLevel"/>
    <w:tmpl w:val="03260038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48E07216"/>
    <w:multiLevelType w:val="hybridMultilevel"/>
    <w:tmpl w:val="E0B656BA"/>
    <w:lvl w:ilvl="0" w:tplc="A60A6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A3A24"/>
    <w:multiLevelType w:val="singleLevel"/>
    <w:tmpl w:val="890868B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F970CE0"/>
    <w:multiLevelType w:val="singleLevel"/>
    <w:tmpl w:val="23AA7864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08953E6"/>
    <w:multiLevelType w:val="hybridMultilevel"/>
    <w:tmpl w:val="B02C0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B3539"/>
    <w:multiLevelType w:val="singleLevel"/>
    <w:tmpl w:val="42564E8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59DB6CD4"/>
    <w:multiLevelType w:val="hybridMultilevel"/>
    <w:tmpl w:val="D2C20686"/>
    <w:lvl w:ilvl="0" w:tplc="CF66237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6BE642F"/>
    <w:multiLevelType w:val="singleLevel"/>
    <w:tmpl w:val="44C2574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9ED7B03"/>
    <w:multiLevelType w:val="hybridMultilevel"/>
    <w:tmpl w:val="10B0B5D6"/>
    <w:lvl w:ilvl="0" w:tplc="E9A89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765311"/>
    <w:multiLevelType w:val="singleLevel"/>
    <w:tmpl w:val="D284BD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DCC7E12"/>
    <w:multiLevelType w:val="hybridMultilevel"/>
    <w:tmpl w:val="9318AA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220034"/>
    <w:multiLevelType w:val="hybridMultilevel"/>
    <w:tmpl w:val="E2B8295C"/>
    <w:lvl w:ilvl="0" w:tplc="E9A89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272E3A"/>
    <w:multiLevelType w:val="hybridMultilevel"/>
    <w:tmpl w:val="68E6BE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A37EDE"/>
    <w:multiLevelType w:val="singleLevel"/>
    <w:tmpl w:val="D638BA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20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32"/>
  </w:num>
  <w:num w:numId="9">
    <w:abstractNumId w:val="26"/>
  </w:num>
  <w:num w:numId="10">
    <w:abstractNumId w:val="4"/>
  </w:num>
  <w:num w:numId="11">
    <w:abstractNumId w:val="10"/>
  </w:num>
  <w:num w:numId="12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</w:rPr>
      </w:lvl>
    </w:lvlOverride>
  </w:num>
  <w:num w:numId="13">
    <w:abstractNumId w:val="36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7"/>
  </w:num>
  <w:num w:numId="19">
    <w:abstractNumId w:val="23"/>
  </w:num>
  <w:num w:numId="20">
    <w:abstractNumId w:val="28"/>
  </w:num>
  <w:num w:numId="21">
    <w:abstractNumId w:val="1"/>
  </w:num>
  <w:num w:numId="22">
    <w:abstractNumId w:val="24"/>
  </w:num>
  <w:num w:numId="23">
    <w:abstractNumId w:val="18"/>
  </w:num>
  <w:num w:numId="24">
    <w:abstractNumId w:val="31"/>
  </w:num>
  <w:num w:numId="25">
    <w:abstractNumId w:val="34"/>
  </w:num>
  <w:num w:numId="26">
    <w:abstractNumId w:val="12"/>
  </w:num>
  <w:num w:numId="27">
    <w:abstractNumId w:val="21"/>
  </w:num>
  <w:num w:numId="28">
    <w:abstractNumId w:val="14"/>
  </w:num>
  <w:num w:numId="29">
    <w:abstractNumId w:val="8"/>
  </w:num>
  <w:num w:numId="30">
    <w:abstractNumId w:val="22"/>
  </w:num>
  <w:num w:numId="31">
    <w:abstractNumId w:val="17"/>
  </w:num>
  <w:num w:numId="32">
    <w:abstractNumId w:val="29"/>
  </w:num>
  <w:num w:numId="33">
    <w:abstractNumId w:val="20"/>
  </w:num>
  <w:num w:numId="34">
    <w:abstractNumId w:val="33"/>
  </w:num>
  <w:num w:numId="35">
    <w:abstractNumId w:val="5"/>
  </w:num>
  <w:num w:numId="36">
    <w:abstractNumId w:val="27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22EF2"/>
    <w:rsid w:val="00045CBC"/>
    <w:rsid w:val="000A1D9A"/>
    <w:rsid w:val="001510A6"/>
    <w:rsid w:val="001B3A9A"/>
    <w:rsid w:val="001C4AD9"/>
    <w:rsid w:val="002B5762"/>
    <w:rsid w:val="002B7029"/>
    <w:rsid w:val="002E7D52"/>
    <w:rsid w:val="00301E10"/>
    <w:rsid w:val="00357647"/>
    <w:rsid w:val="00393094"/>
    <w:rsid w:val="003A1562"/>
    <w:rsid w:val="003D7EE1"/>
    <w:rsid w:val="003F5D5F"/>
    <w:rsid w:val="00443A66"/>
    <w:rsid w:val="004D4EDD"/>
    <w:rsid w:val="0050632E"/>
    <w:rsid w:val="0052703E"/>
    <w:rsid w:val="005308E1"/>
    <w:rsid w:val="00565925"/>
    <w:rsid w:val="005960D7"/>
    <w:rsid w:val="005F3EBB"/>
    <w:rsid w:val="006049A4"/>
    <w:rsid w:val="00611804"/>
    <w:rsid w:val="00623C73"/>
    <w:rsid w:val="006269A4"/>
    <w:rsid w:val="0069295C"/>
    <w:rsid w:val="006961B6"/>
    <w:rsid w:val="006B47DB"/>
    <w:rsid w:val="007859E7"/>
    <w:rsid w:val="007C138B"/>
    <w:rsid w:val="007D4223"/>
    <w:rsid w:val="00851F06"/>
    <w:rsid w:val="00895056"/>
    <w:rsid w:val="0089625D"/>
    <w:rsid w:val="008A35F7"/>
    <w:rsid w:val="008A46C4"/>
    <w:rsid w:val="008C5376"/>
    <w:rsid w:val="00906CCF"/>
    <w:rsid w:val="0090755A"/>
    <w:rsid w:val="009505A9"/>
    <w:rsid w:val="00966626"/>
    <w:rsid w:val="00A27F61"/>
    <w:rsid w:val="00A3672C"/>
    <w:rsid w:val="00A52D12"/>
    <w:rsid w:val="00A60451"/>
    <w:rsid w:val="00AD082A"/>
    <w:rsid w:val="00AD15AA"/>
    <w:rsid w:val="00AE56D8"/>
    <w:rsid w:val="00B21822"/>
    <w:rsid w:val="00BB09CE"/>
    <w:rsid w:val="00C10548"/>
    <w:rsid w:val="00C60042"/>
    <w:rsid w:val="00CD2595"/>
    <w:rsid w:val="00CF5235"/>
    <w:rsid w:val="00D37920"/>
    <w:rsid w:val="00D40C87"/>
    <w:rsid w:val="00D90966"/>
    <w:rsid w:val="00D951E4"/>
    <w:rsid w:val="00DA71C8"/>
    <w:rsid w:val="00DB726B"/>
    <w:rsid w:val="00DC005C"/>
    <w:rsid w:val="00DC6CA5"/>
    <w:rsid w:val="00DD6467"/>
    <w:rsid w:val="00E161E0"/>
    <w:rsid w:val="00E87446"/>
    <w:rsid w:val="00F0793A"/>
    <w:rsid w:val="00F62D47"/>
    <w:rsid w:val="00F75C85"/>
    <w:rsid w:val="00F84B10"/>
    <w:rsid w:val="00F9188A"/>
    <w:rsid w:val="00F96C08"/>
    <w:rsid w:val="00F97105"/>
    <w:rsid w:val="00F97863"/>
    <w:rsid w:val="00FC2495"/>
    <w:rsid w:val="00FE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">
    <w:name w:val="Štýl"/>
    <w:uiPriority w:val="99"/>
    <w:rsid w:val="00DD64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6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13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C60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842</Words>
  <Characters>4801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Priska Czufalova</cp:lastModifiedBy>
  <cp:revision>24</cp:revision>
  <cp:lastPrinted>2014-04-10T07:04:00Z</cp:lastPrinted>
  <dcterms:created xsi:type="dcterms:W3CDTF">2014-02-28T13:57:00Z</dcterms:created>
  <dcterms:modified xsi:type="dcterms:W3CDTF">2014-12-12T09:09:00Z</dcterms:modified>
</cp:coreProperties>
</file>